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617" w:lineRule="auto"/>
        <w:ind w:left="1128" w:firstLine="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color w:val="1f3864"/>
          <w:sz w:val="40"/>
          <w:szCs w:val="40"/>
          <w:rtl w:val="0"/>
        </w:rPr>
        <w:t xml:space="preserve">Montgomery County Public Schools</w:t>
      </w:r>
      <w:r w:rsidDel="00000000" w:rsidR="00000000" w:rsidRPr="00000000">
        <w:rPr>
          <w:rtl w:val="0"/>
        </w:rPr>
      </w:r>
    </w:p>
    <w:p w:rsidR="00000000" w:rsidDel="00000000" w:rsidP="00000000" w:rsidRDefault="00000000" w:rsidRPr="00000000" w14:paraId="00000002">
      <w:pPr>
        <w:spacing w:before="3" w:line="240" w:lineRule="auto"/>
        <w:rPr>
          <w:sz w:val="24"/>
          <w:szCs w:val="24"/>
        </w:rPr>
      </w:pPr>
      <w:r w:rsidDel="00000000" w:rsidR="00000000" w:rsidRPr="00000000">
        <w:rPr>
          <w:rtl w:val="0"/>
        </w:rPr>
      </w:r>
    </w:p>
    <w:p w:rsidR="00000000" w:rsidDel="00000000" w:rsidP="00000000" w:rsidRDefault="00000000" w:rsidRPr="00000000" w14:paraId="00000003">
      <w:pPr>
        <w:spacing w:before="59"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Program of Study (POS): Computer Science/Code.org</w:t>
      </w:r>
      <w:r w:rsidDel="00000000" w:rsidR="00000000" w:rsidRPr="00000000">
        <w:rPr>
          <w:rtl w:val="0"/>
        </w:rPr>
      </w:r>
    </w:p>
    <w:p w:rsidR="00000000" w:rsidDel="00000000" w:rsidP="00000000" w:rsidRDefault="00000000" w:rsidRPr="00000000" w14:paraId="00000004">
      <w:pPr>
        <w:spacing w:before="4" w:line="19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05">
      <w:pPr>
        <w:spacing w:before="18" w:line="260" w:lineRule="auto"/>
        <w:jc w:val="center"/>
        <w:rPr>
          <w:sz w:val="26"/>
          <w:szCs w:val="26"/>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80" w:right="24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This is a sample pathway schedule that may be tailored to meet a student’s individual needs.  In addition to program coursework, all students must take prescribed English, mathematics, science, social studies, and other courses required for a Maryland high school diploma. Career Readiness POS varies at each high school. Please check the website below or with the school for program availability. </w:t>
      </w:r>
      <w:hyperlink r:id="rId6">
        <w:r w:rsidDel="00000000" w:rsidR="00000000" w:rsidRPr="00000000">
          <w:rPr>
            <w:rFonts w:ascii="Times New Roman" w:cs="Times New Roman" w:eastAsia="Times New Roman" w:hAnsi="Times New Roman"/>
            <w:b w:val="1"/>
            <w:i w:val="0"/>
            <w:smallCaps w:val="0"/>
            <w:strike w:val="0"/>
            <w:color w:val="0000ff"/>
            <w:sz w:val="20"/>
            <w:szCs w:val="20"/>
            <w:u w:val="single"/>
            <w:shd w:fill="auto" w:val="clear"/>
            <w:vertAlign w:val="baseline"/>
            <w:rtl w:val="0"/>
          </w:rPr>
          <w:t xml:space="preserve">https://www.montgomeryschoolsmd.org/career-readiness/plans/hs-plans.aspx</w:t>
        </w:r>
      </w:hyperlink>
      <w:r w:rsidDel="00000000" w:rsidR="00000000" w:rsidRPr="00000000">
        <w:rPr>
          <w:rtl w:val="0"/>
        </w:rPr>
      </w:r>
    </w:p>
    <w:p w:rsidR="00000000" w:rsidDel="00000000" w:rsidP="00000000" w:rsidRDefault="00000000" w:rsidRPr="00000000" w14:paraId="00000007">
      <w:pPr>
        <w:spacing w:before="8" w:line="150" w:lineRule="auto"/>
        <w:rPr>
          <w:sz w:val="15"/>
          <w:szCs w:val="15"/>
        </w:rPr>
      </w:pPr>
      <w:r w:rsidDel="00000000" w:rsidR="00000000" w:rsidRPr="00000000">
        <w:rPr>
          <w:rtl w:val="0"/>
        </w:rPr>
      </w:r>
    </w:p>
    <w:tbl>
      <w:tblPr>
        <w:tblStyle w:val="Table1"/>
        <w:tblW w:w="10536.999999999998" w:type="dxa"/>
        <w:jc w:val="left"/>
        <w:tblInd w:w="77.0" w:type="dxa"/>
        <w:tblLayout w:type="fixed"/>
        <w:tblLook w:val="0000"/>
      </w:tblPr>
      <w:tblGrid>
        <w:gridCol w:w="2614"/>
        <w:gridCol w:w="2614"/>
        <w:gridCol w:w="2614"/>
        <w:gridCol w:w="2695"/>
        <w:tblGridChange w:id="0">
          <w:tblGrid>
            <w:gridCol w:w="2614"/>
            <w:gridCol w:w="2614"/>
            <w:gridCol w:w="2614"/>
            <w:gridCol w:w="2695"/>
          </w:tblGrid>
        </w:tblGridChange>
      </w:tblGrid>
      <w:tr>
        <w:trPr>
          <w:trHeight w:val="559" w:hRule="atLeast"/>
        </w:trPr>
        <w:tc>
          <w:tcPr>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77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Grade 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70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Grade 10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9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Grade 11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70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Grade 12</w:t>
            </w:r>
            <w:r w:rsidDel="00000000" w:rsidR="00000000" w:rsidRPr="00000000">
              <w:rPr>
                <w:rtl w:val="0"/>
              </w:rPr>
            </w:r>
          </w:p>
        </w:tc>
      </w:tr>
      <w:tr>
        <w:trPr>
          <w:trHeight w:val="1054"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English</w:t>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02" w:right="20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English 9/Honors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216" w:right="22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English</w:t>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English 10/Honors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4"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English</w:t>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English 11/Honors/AP</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7"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English</w:t>
            </w: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English 12/Honors/AP</w:t>
            </w:r>
            <w:r w:rsidDel="00000000" w:rsidR="00000000" w:rsidRPr="00000000">
              <w:rPr>
                <w:rtl w:val="0"/>
              </w:rPr>
            </w:r>
          </w:p>
        </w:tc>
      </w:tr>
      <w:tr>
        <w:trPr>
          <w:trHeight w:val="1736"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0" w:right="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Mathematics</w:t>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51" w:right="355" w:firstLine="2.9999999999999716"/>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Algebra 1, Geometry/Honors, or Algebra 2/Honors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613" w:right="61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Mathematics</w:t>
            </w: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9" w:right="351" w:hanging="1.000000000000014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Geometry/Honors, Algebra 2/Honors, or Pre-calculus/Honors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63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Mathematics</w:t>
            </w: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9" w:right="190" w:firstLine="186.999999999999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Algebra 2/Honors, Pre-calculus/Honors, or</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AP Calculus AB/BC or Statistics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0" w:right="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Mathematics</w:t>
            </w: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1" w:right="261" w:hanging="3.00000000000000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Pre-calculus/Honors, AP Calculus AB/BC, or</w:t>
            </w: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10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AP Statistics/College Level Math Beyond AP Calculus</w:t>
            </w:r>
            <w:r w:rsidDel="00000000" w:rsidR="00000000" w:rsidRPr="00000000">
              <w:rPr>
                <w:rtl w:val="0"/>
              </w:rPr>
            </w:r>
          </w:p>
        </w:tc>
      </w:tr>
      <w:tr>
        <w:trPr>
          <w:trHeight w:val="1332"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Science</w:t>
            </w: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10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NGSS Biology, NGSS Physics, Astronomy with Physics or AP Physics 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542" w:right="61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Science</w:t>
            </w: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NGSS Chemistry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Science</w:t>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5"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NGSS Physics, Astronomy with Physics, NGSS Biology or AP/IB Science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12" w:right="31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Elective Coursework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rPr>
          <w:trHeight w:val="1314"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Social Studies</w:t>
            </w: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 w:right="22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U.S. History/Honors/AP</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Social Studies</w:t>
            </w: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1" w:right="20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National, State, and Local Government/Honors/AP</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Social Studies</w:t>
            </w: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0" w:right="26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Modern World History/ Honors/AP/IB</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6"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Elective Coursework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p>
        </w:tc>
      </w:tr>
      <w:tr>
        <w:trPr>
          <w:trHeight w:val="822" w:hRule="atLeast"/>
        </w:trPr>
        <w:tc>
          <w:tcPr>
            <w:tcBorders>
              <w:top w:color="000000" w:space="0" w:sz="4" w:val="single"/>
              <w:left w:color="000000" w:space="0" w:sz="5" w:val="single"/>
              <w:bottom w:color="000000" w:space="0" w:sz="5" w:val="single"/>
              <w:right w:color="000000" w:space="0" w:sz="4" w:val="single"/>
            </w:tcBorders>
            <w:shd w:fill="auto" w:val="clea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29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Physical Education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29"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Health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and</w:t>
            </w: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61" w:lineRule="auto"/>
              <w:ind w:left="27" w:right="0" w:firstLine="0"/>
              <w:jc w:val="center"/>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Elective Coursework</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 w:right="125" w:hanging="1.999999999999993"/>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Fine Arts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0" w:right="0" w:firstLine="0"/>
              <w:jc w:val="center"/>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Elective Coursework</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1</w:t>
            </w:r>
            <w:r w:rsidDel="00000000" w:rsidR="00000000" w:rsidRPr="00000000">
              <w:rPr>
                <w:rtl w:val="0"/>
              </w:rPr>
            </w:r>
          </w:p>
        </w:tc>
      </w:tr>
      <w:tr>
        <w:trPr>
          <w:trHeight w:val="529" w:hRule="atLeast"/>
        </w:trPr>
        <w:tc>
          <w:tcPr>
            <w:tcBorders>
              <w:top w:color="000000" w:space="0" w:sz="5" w:val="single"/>
              <w:left w:color="000000" w:space="0" w:sz="5" w:val="single"/>
              <w:bottom w:color="000000" w:space="0" w:sz="4" w:val="single"/>
              <w:right w:color="000000" w:space="0" w:sz="5"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311"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World  Language</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312"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World Language</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311"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Elective Coursework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tl w:val="0"/>
              </w:rPr>
            </w:r>
          </w:p>
        </w:tc>
        <w:tc>
          <w:tcPr>
            <w:tcBorders>
              <w:top w:color="000000" w:space="0" w:sz="5" w:val="single"/>
              <w:left w:color="000000" w:space="0" w:sz="5" w:val="single"/>
              <w:bottom w:color="000000" w:space="0" w:sz="4" w:val="single"/>
              <w:right w:color="000000" w:space="0" w:sz="5" w:val="single"/>
            </w:tcBorders>
            <w:shd w:fill="ffffff" w:val="clea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23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Elective Coursework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rPr>
          <w:trHeight w:val="1125" w:hRule="atLeast"/>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4">
            <w:pPr>
              <w:jc w:val="center"/>
              <w:rPr>
                <w:rFonts w:ascii="Times New Roman" w:cs="Times New Roman" w:eastAsia="Times New Roman" w:hAnsi="Times New Roman"/>
                <w:b w:val="1"/>
                <w:vertAlign w:val="superscript"/>
              </w:rPr>
            </w:pPr>
            <w:r w:rsidDel="00000000" w:rsidR="00000000" w:rsidRPr="00000000">
              <w:rPr>
                <w:rFonts w:ascii="Times New Roman" w:cs="Times New Roman" w:eastAsia="Times New Roman" w:hAnsi="Times New Roman"/>
                <w:b w:val="1"/>
                <w:rtl w:val="0"/>
              </w:rPr>
              <w:t xml:space="preserve">Technology Education</w:t>
            </w:r>
            <w:r w:rsidDel="00000000" w:rsidR="00000000" w:rsidRPr="00000000">
              <w:rPr>
                <w:rFonts w:ascii="Times New Roman" w:cs="Times New Roman" w:eastAsia="Times New Roman" w:hAnsi="Times New Roman"/>
                <w:b w:val="1"/>
                <w:vertAlign w:val="superscript"/>
                <w:rtl w:val="0"/>
              </w:rPr>
              <w:t xml:space="preserve">3</w:t>
            </w:r>
          </w:p>
          <w:p w:rsidR="00000000" w:rsidDel="00000000" w:rsidP="00000000" w:rsidRDefault="00000000" w:rsidRPr="00000000" w14:paraId="00000045">
            <w:pPr>
              <w:rPr>
                <w:rFonts w:ascii="Times New Roman" w:cs="Times New Roman" w:eastAsia="Times New Roman" w:hAnsi="Times New Roman"/>
                <w:b w:val="1"/>
                <w:vertAlign w:val="superscript"/>
              </w:rPr>
            </w:pPr>
            <w:r w:rsidDel="00000000" w:rsidR="00000000" w:rsidRPr="00000000">
              <w:rPr>
                <w:rFonts w:ascii="Times New Roman" w:cs="Times New Roman" w:eastAsia="Times New Roman" w:hAnsi="Times New Roman"/>
                <w:b w:val="1"/>
                <w:i w:val="1"/>
                <w:rtl w:val="0"/>
              </w:rPr>
              <w:t xml:space="preserve">Foundations of Computer Science or AP Computer Science Principles </w:t>
            </w:r>
            <w:r w:rsidDel="00000000" w:rsidR="00000000" w:rsidRPr="00000000">
              <w:rPr>
                <w:rtl w:val="0"/>
              </w:rPr>
            </w:r>
          </w:p>
        </w:tc>
        <w:tc>
          <w:tcPr>
            <w:tcBorders>
              <w:top w:color="000000" w:space="0" w:sz="5" w:val="single"/>
              <w:left w:color="000000" w:space="0" w:sz="4" w:val="single"/>
              <w:bottom w:color="000000" w:space="0" w:sz="4" w:val="single"/>
              <w:right w:color="000000" w:space="0" w:sz="5" w:val="single"/>
            </w:tcBorders>
            <w:shd w:fill="ffff00" w:val="clea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0" w:right="3"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rtl w:val="0"/>
              </w:rPr>
              <w:t xml:space="preserve">Computer Programming 1</w:t>
            </w: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1" w:right="443" w:hanging="1.0000000000000142"/>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1" w:right="443" w:hanging="1.0000000000000142"/>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4" w:val="single"/>
              <w:right w:color="000000" w:space="0" w:sz="4" w:val="single"/>
            </w:tcBorders>
            <w:shd w:fill="ffff00" w:val="clea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0" w:right="1"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rtl w:val="0"/>
              </w:rPr>
              <w:t xml:space="preserve">AP Computer Science JAVA</w:t>
            </w: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4" w:line="13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4" w:line="13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1" w:right="443" w:hanging="1.0000000000000142"/>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4D">
            <w:pPr>
              <w:spacing w:before="76" w:lineRule="auto"/>
              <w:ind w:left="122"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Cybersecurity Capstone, Computer Programming 3, Info Tech Internship, or Dual Enrollment </w:t>
            </w:r>
            <w:r w:rsidDel="00000000" w:rsidR="00000000" w:rsidRPr="00000000">
              <w:rPr>
                <w:rtl w:val="0"/>
              </w:rPr>
            </w:r>
          </w:p>
        </w:tc>
      </w:tr>
    </w:tbl>
    <w:p w:rsidR="00000000" w:rsidDel="00000000" w:rsidP="00000000" w:rsidRDefault="00000000" w:rsidRPr="00000000" w14:paraId="0000004E">
      <w:pPr>
        <w:spacing w:before="7" w:line="110" w:lineRule="auto"/>
        <w:rPr>
          <w:sz w:val="11"/>
          <w:szCs w:val="11"/>
        </w:rPr>
      </w:pPr>
      <w:r w:rsidDel="00000000" w:rsidR="00000000" w:rsidRPr="00000000">
        <w:rPr>
          <w:rtl w:val="0"/>
        </w:rPr>
      </w:r>
    </w:p>
    <w:p w:rsidR="00000000" w:rsidDel="00000000" w:rsidP="00000000" w:rsidRDefault="00000000" w:rsidRPr="00000000" w14:paraId="0000004F">
      <w:pPr>
        <w:numPr>
          <w:ilvl w:val="0"/>
          <w:numId w:val="1"/>
        </w:numPr>
        <w:tabs>
          <w:tab w:val="left" w:pos="780"/>
        </w:tabs>
        <w:spacing w:before="74" w:lineRule="auto"/>
        <w:ind w:left="780" w:hanging="120"/>
        <w:rPr/>
      </w:pPr>
      <w:r w:rsidDel="00000000" w:rsidR="00000000" w:rsidRPr="00000000">
        <w:rPr>
          <w:rFonts w:ascii="Times New Roman" w:cs="Times New Roman" w:eastAsia="Times New Roman" w:hAnsi="Times New Roman"/>
          <w:b w:val="1"/>
          <w:sz w:val="20"/>
          <w:szCs w:val="20"/>
          <w:rtl w:val="0"/>
        </w:rPr>
        <w:t xml:space="preserve">Electives:</w:t>
      </w:r>
      <w:r w:rsidDel="00000000" w:rsidR="00000000" w:rsidRPr="00000000">
        <w:rPr>
          <w:rFonts w:ascii="Times New Roman" w:cs="Times New Roman" w:eastAsia="Times New Roman" w:hAnsi="Times New Roman"/>
          <w:sz w:val="20"/>
          <w:szCs w:val="20"/>
          <w:rtl w:val="0"/>
        </w:rPr>
        <w:t xml:space="preserve"> Elective courses are available in each content area (Fine Arts, PE, etc.) list above and varies at each high school.  Please check with the school for course availability.  College courses options are also available to students.</w:t>
      </w:r>
    </w:p>
    <w:p w:rsidR="00000000" w:rsidDel="00000000" w:rsidP="00000000" w:rsidRDefault="00000000" w:rsidRPr="00000000" w14:paraId="00000050">
      <w:pPr>
        <w:numPr>
          <w:ilvl w:val="0"/>
          <w:numId w:val="1"/>
        </w:numPr>
        <w:tabs>
          <w:tab w:val="left" w:pos="780"/>
        </w:tabs>
        <w:spacing w:before="74" w:lineRule="auto"/>
        <w:ind w:left="780" w:hanging="120"/>
        <w:rPr/>
      </w:pPr>
      <w:r w:rsidDel="00000000" w:rsidR="00000000" w:rsidRPr="00000000">
        <w:rPr>
          <w:rFonts w:ascii="Times New Roman" w:cs="Times New Roman" w:eastAsia="Times New Roman" w:hAnsi="Times New Roman"/>
          <w:b w:val="1"/>
          <w:sz w:val="20"/>
          <w:szCs w:val="20"/>
          <w:rtl w:val="0"/>
        </w:rPr>
        <w:t xml:space="preserve">World Language:  </w:t>
      </w:r>
      <w:r w:rsidDel="00000000" w:rsidR="00000000" w:rsidRPr="00000000">
        <w:rPr>
          <w:rFonts w:ascii="Times New Roman" w:cs="Times New Roman" w:eastAsia="Times New Roman" w:hAnsi="Times New Roman"/>
          <w:sz w:val="20"/>
          <w:szCs w:val="20"/>
          <w:rtl w:val="0"/>
        </w:rPr>
        <w:t xml:space="preserve">Choose from languages available at your school. Students may fulfill the World Language graduation option in middle school.</w:t>
      </w:r>
    </w:p>
    <w:p w:rsidR="00000000" w:rsidDel="00000000" w:rsidP="00000000" w:rsidRDefault="00000000" w:rsidRPr="00000000" w14:paraId="00000051">
      <w:pPr>
        <w:numPr>
          <w:ilvl w:val="0"/>
          <w:numId w:val="1"/>
        </w:numPr>
        <w:tabs>
          <w:tab w:val="left" w:pos="780"/>
        </w:tabs>
        <w:spacing w:before="74" w:lineRule="auto"/>
        <w:ind w:left="780" w:hanging="120"/>
        <w:rPr/>
      </w:pPr>
      <w:r w:rsidDel="00000000" w:rsidR="00000000" w:rsidRPr="00000000">
        <w:rPr>
          <w:rFonts w:ascii="Times New Roman" w:cs="Times New Roman" w:eastAsia="Times New Roman" w:hAnsi="Times New Roman"/>
          <w:b w:val="1"/>
          <w:sz w:val="20"/>
          <w:szCs w:val="20"/>
          <w:rtl w:val="0"/>
        </w:rPr>
        <w:t xml:space="preserve">Technology education:</w:t>
      </w:r>
      <w:r w:rsidDel="00000000" w:rsidR="00000000" w:rsidRPr="00000000">
        <w:rPr>
          <w:rFonts w:ascii="Times New Roman" w:cs="Times New Roman" w:eastAsia="Times New Roman" w:hAnsi="Times New Roman"/>
          <w:sz w:val="20"/>
          <w:szCs w:val="20"/>
          <w:rtl w:val="0"/>
        </w:rPr>
        <w:t xml:space="preserve"> Students may fulfill the technology education graduation requirement in middle school. </w:t>
      </w:r>
    </w:p>
    <w:p w:rsidR="00000000" w:rsidDel="00000000" w:rsidP="00000000" w:rsidRDefault="00000000" w:rsidRPr="00000000" w14:paraId="00000052">
      <w:pPr>
        <w:spacing w:before="67" w:lineRule="auto"/>
        <w:ind w:right="660"/>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CCRDP 01/28/2021</w:t>
      </w:r>
    </w:p>
    <w:sectPr>
      <w:pgSz w:h="15840" w:w="12240" w:orient="portrait"/>
      <w:pgMar w:bottom="280" w:top="720" w:left="780" w:right="7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hanging="120"/>
      </w:pPr>
      <w:rPr>
        <w:rFonts w:ascii="Times New Roman" w:cs="Times New Roman" w:eastAsia="Times New Roman" w:hAnsi="Times New Roman"/>
        <w:sz w:val="20"/>
        <w:szCs w:val="20"/>
        <w:vertAlign w:val="superscript"/>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ontgomeryschoolsmd.org/career-readiness/plans/hs-pla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